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50" w:rsidRPr="00AC62C1" w:rsidRDefault="001A6050" w:rsidP="001A6050">
      <w:pPr>
        <w:pStyle w:val="Encabezado"/>
        <w:jc w:val="both"/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-271145</wp:posOffset>
            </wp:positionV>
            <wp:extent cx="819150" cy="981075"/>
            <wp:effectExtent l="0" t="0" r="0" b="9525"/>
            <wp:wrapNone/>
            <wp:docPr id="3" name="Imagen 3" descr="Imagen en blanco y negr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en blanco y negr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0</wp:posOffset>
            </wp:positionV>
            <wp:extent cx="672465" cy="804545"/>
            <wp:effectExtent l="0" t="0" r="0" b="0"/>
            <wp:wrapTight wrapText="bothSides">
              <wp:wrapPolygon edited="0">
                <wp:start x="0" y="0"/>
                <wp:lineTo x="0" y="20969"/>
                <wp:lineTo x="20805" y="20969"/>
                <wp:lineTo x="20805" y="0"/>
                <wp:lineTo x="0" y="0"/>
              </wp:wrapPolygon>
            </wp:wrapTight>
            <wp:docPr id="1" name="Imagen 1" descr="insignia li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lin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Liceo Nacional de Maipú</w:t>
      </w:r>
    </w:p>
    <w:p w:rsidR="001A6050" w:rsidRDefault="001A6050" w:rsidP="001A6050">
      <w:pPr>
        <w:pStyle w:val="Encabezado"/>
        <w:tabs>
          <w:tab w:val="clear" w:pos="4252"/>
          <w:tab w:val="left" w:pos="4253"/>
        </w:tabs>
        <w:jc w:val="both"/>
        <w:rPr>
          <w:rFonts w:ascii="Verdana" w:hAnsi="Verdana"/>
          <w:b/>
          <w:smallCaps/>
          <w:sz w:val="18"/>
          <w:szCs w:val="18"/>
          <w:lang w:val="es-CL"/>
        </w:rPr>
      </w:pPr>
      <w:r>
        <w:rPr>
          <w:rFonts w:ascii="Verdana" w:hAnsi="Verdana"/>
          <w:smallCaps/>
          <w:sz w:val="18"/>
          <w:szCs w:val="18"/>
          <w:lang w:val="es-CL"/>
        </w:rPr>
        <w:t>____________________________</w:t>
      </w:r>
      <w:r w:rsidRPr="00AC62C1">
        <w:rPr>
          <w:rFonts w:ascii="Verdana" w:hAnsi="Verdana"/>
          <w:b/>
          <w:smallCaps/>
          <w:sz w:val="18"/>
          <w:szCs w:val="18"/>
          <w:lang w:val="es-CL"/>
        </w:rPr>
        <w:t>Departamento de Lenguaje y Comunicación</w:t>
      </w:r>
    </w:p>
    <w:p w:rsidR="001A6050" w:rsidRPr="00AC62C1" w:rsidRDefault="001A6050" w:rsidP="001A6050">
      <w:pPr>
        <w:pStyle w:val="Encabezado"/>
        <w:tabs>
          <w:tab w:val="clear" w:pos="4252"/>
          <w:tab w:val="left" w:pos="4253"/>
        </w:tabs>
        <w:jc w:val="both"/>
        <w:rPr>
          <w:rFonts w:ascii="Verdana" w:hAnsi="Verdana"/>
          <w:b/>
          <w:smallCaps/>
          <w:sz w:val="18"/>
          <w:szCs w:val="18"/>
          <w:lang w:val="es-CL"/>
        </w:rPr>
      </w:pPr>
    </w:p>
    <w:p w:rsidR="008A612E" w:rsidRDefault="008A612E"/>
    <w:p w:rsidR="001A6050" w:rsidRDefault="001A6050"/>
    <w:p w:rsidR="001A6050" w:rsidRDefault="001A6050"/>
    <w:p w:rsidR="001A6050" w:rsidRPr="001A6050" w:rsidRDefault="001A6050" w:rsidP="001A6050">
      <w:pPr>
        <w:jc w:val="center"/>
        <w:rPr>
          <w:b/>
          <w:bCs/>
          <w:sz w:val="40"/>
          <w:szCs w:val="40"/>
        </w:rPr>
      </w:pPr>
      <w:r w:rsidRPr="001A6050">
        <w:rPr>
          <w:b/>
          <w:bCs/>
          <w:sz w:val="40"/>
          <w:szCs w:val="40"/>
        </w:rPr>
        <w:t>Lecturas de Verano 2023</w:t>
      </w:r>
    </w:p>
    <w:p w:rsidR="001A6050" w:rsidRPr="007D2368" w:rsidRDefault="001A6050" w:rsidP="007D2368">
      <w:pPr>
        <w:spacing w:line="360" w:lineRule="auto"/>
        <w:ind w:firstLine="708"/>
        <w:jc w:val="both"/>
        <w:rPr>
          <w:sz w:val="24"/>
          <w:szCs w:val="24"/>
        </w:rPr>
      </w:pPr>
      <w:r w:rsidRPr="007D2368">
        <w:rPr>
          <w:sz w:val="24"/>
          <w:szCs w:val="24"/>
        </w:rPr>
        <w:t>En el marco de nuestro Plan de Lectura para el año 2023</w:t>
      </w:r>
      <w:r w:rsidR="007D2368">
        <w:rPr>
          <w:sz w:val="24"/>
          <w:szCs w:val="24"/>
        </w:rPr>
        <w:t xml:space="preserve">, </w:t>
      </w:r>
      <w:r w:rsidRPr="007D2368">
        <w:rPr>
          <w:sz w:val="24"/>
          <w:szCs w:val="24"/>
        </w:rPr>
        <w:t>informamos los libros que serán el inicio del proceso lector. Estas lecturas serán evaluadas en marzo del año citado y se consideran la primera nota sumativa del subsector de Lengua y Literatura.</w:t>
      </w:r>
    </w:p>
    <w:p w:rsidR="001047FF" w:rsidRDefault="001047FF" w:rsidP="001A6050">
      <w:pPr>
        <w:spacing w:line="360" w:lineRule="auto"/>
        <w:ind w:firstLine="708"/>
      </w:pPr>
    </w:p>
    <w:tbl>
      <w:tblPr>
        <w:tblStyle w:val="Tablaconcuadrcula"/>
        <w:tblW w:w="9328" w:type="dxa"/>
        <w:tblLook w:val="04A0"/>
      </w:tblPr>
      <w:tblGrid>
        <w:gridCol w:w="2092"/>
        <w:gridCol w:w="7236"/>
      </w:tblGrid>
      <w:tr w:rsidR="001047FF" w:rsidTr="007D2368">
        <w:trPr>
          <w:trHeight w:val="821"/>
        </w:trPr>
        <w:tc>
          <w:tcPr>
            <w:tcW w:w="2092" w:type="dxa"/>
          </w:tcPr>
          <w:p w:rsidR="001047FF" w:rsidRPr="001047FF" w:rsidRDefault="001047FF" w:rsidP="001A605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047FF">
              <w:rPr>
                <w:b/>
                <w:bCs/>
                <w:sz w:val="28"/>
                <w:szCs w:val="28"/>
              </w:rPr>
              <w:t>Curso</w:t>
            </w:r>
          </w:p>
        </w:tc>
        <w:tc>
          <w:tcPr>
            <w:tcW w:w="7236" w:type="dxa"/>
          </w:tcPr>
          <w:p w:rsidR="001047FF" w:rsidRPr="001047FF" w:rsidRDefault="001047FF" w:rsidP="001A605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1047FF">
              <w:rPr>
                <w:b/>
                <w:bCs/>
                <w:sz w:val="28"/>
                <w:szCs w:val="28"/>
              </w:rPr>
              <w:t>Libro- Autor</w:t>
            </w:r>
          </w:p>
        </w:tc>
      </w:tr>
      <w:tr w:rsidR="001047FF" w:rsidTr="007D2368">
        <w:trPr>
          <w:trHeight w:val="631"/>
        </w:trPr>
        <w:tc>
          <w:tcPr>
            <w:tcW w:w="2092" w:type="dxa"/>
          </w:tcPr>
          <w:p w:rsidR="001047FF" w:rsidRDefault="001047FF" w:rsidP="001A6050">
            <w:pPr>
              <w:spacing w:line="360" w:lineRule="auto"/>
            </w:pPr>
            <w:r>
              <w:t>7° Básico</w:t>
            </w:r>
          </w:p>
        </w:tc>
        <w:tc>
          <w:tcPr>
            <w:tcW w:w="7236" w:type="dxa"/>
          </w:tcPr>
          <w:p w:rsidR="001047FF" w:rsidRDefault="001047FF" w:rsidP="001A6050">
            <w:pPr>
              <w:spacing w:line="360" w:lineRule="auto"/>
            </w:pPr>
            <w:r>
              <w:t>“Percy Jackson. El ladrón del rayo”, de Rick Riordan.</w:t>
            </w:r>
          </w:p>
        </w:tc>
      </w:tr>
      <w:tr w:rsidR="001047FF" w:rsidTr="007D2368">
        <w:trPr>
          <w:trHeight w:val="631"/>
        </w:trPr>
        <w:tc>
          <w:tcPr>
            <w:tcW w:w="2092" w:type="dxa"/>
          </w:tcPr>
          <w:p w:rsidR="001047FF" w:rsidRDefault="001047FF" w:rsidP="001A6050">
            <w:pPr>
              <w:spacing w:line="360" w:lineRule="auto"/>
            </w:pPr>
            <w:r>
              <w:t>8° Básico</w:t>
            </w:r>
          </w:p>
        </w:tc>
        <w:tc>
          <w:tcPr>
            <w:tcW w:w="7236" w:type="dxa"/>
          </w:tcPr>
          <w:p w:rsidR="001047FF" w:rsidRDefault="001047FF" w:rsidP="001A6050">
            <w:pPr>
              <w:spacing w:line="360" w:lineRule="auto"/>
            </w:pPr>
            <w:r>
              <w:t>“Percy Jackson. El mar de los monstruos”, de Rick Riordan.</w:t>
            </w:r>
          </w:p>
        </w:tc>
      </w:tr>
      <w:tr w:rsidR="001047FF" w:rsidTr="007D2368">
        <w:trPr>
          <w:trHeight w:val="631"/>
        </w:trPr>
        <w:tc>
          <w:tcPr>
            <w:tcW w:w="2092" w:type="dxa"/>
          </w:tcPr>
          <w:p w:rsidR="001047FF" w:rsidRDefault="001047FF" w:rsidP="001A6050">
            <w:pPr>
              <w:spacing w:line="360" w:lineRule="auto"/>
            </w:pPr>
            <w:r>
              <w:t>1° medio</w:t>
            </w:r>
          </w:p>
        </w:tc>
        <w:tc>
          <w:tcPr>
            <w:tcW w:w="7236" w:type="dxa"/>
          </w:tcPr>
          <w:p w:rsidR="001047FF" w:rsidRDefault="001047FF" w:rsidP="001A6050">
            <w:pPr>
              <w:spacing w:line="360" w:lineRule="auto"/>
            </w:pPr>
            <w:r>
              <w:t>“La contadora de películas”, de Hernán Rivera Letelier.</w:t>
            </w:r>
          </w:p>
        </w:tc>
      </w:tr>
      <w:tr w:rsidR="001047FF" w:rsidTr="007D2368">
        <w:trPr>
          <w:trHeight w:val="653"/>
        </w:trPr>
        <w:tc>
          <w:tcPr>
            <w:tcW w:w="2092" w:type="dxa"/>
          </w:tcPr>
          <w:p w:rsidR="001047FF" w:rsidRDefault="001047FF" w:rsidP="001A6050">
            <w:pPr>
              <w:spacing w:line="360" w:lineRule="auto"/>
            </w:pPr>
            <w:r>
              <w:t>2° medio</w:t>
            </w:r>
          </w:p>
        </w:tc>
        <w:tc>
          <w:tcPr>
            <w:tcW w:w="7236" w:type="dxa"/>
          </w:tcPr>
          <w:p w:rsidR="001047FF" w:rsidRDefault="001047FF" w:rsidP="001A6050">
            <w:pPr>
              <w:spacing w:line="360" w:lineRule="auto"/>
            </w:pPr>
            <w:r>
              <w:t>“Después de ayer</w:t>
            </w:r>
            <w:r w:rsidR="007D2368">
              <w:t xml:space="preserve">”, de </w:t>
            </w:r>
            <w:r>
              <w:t>María Eugenia Lorenzini.</w:t>
            </w:r>
          </w:p>
        </w:tc>
      </w:tr>
      <w:tr w:rsidR="001047FF" w:rsidTr="007D2368">
        <w:trPr>
          <w:trHeight w:val="631"/>
        </w:trPr>
        <w:tc>
          <w:tcPr>
            <w:tcW w:w="2092" w:type="dxa"/>
          </w:tcPr>
          <w:p w:rsidR="001047FF" w:rsidRDefault="001047FF" w:rsidP="001A6050">
            <w:pPr>
              <w:spacing w:line="360" w:lineRule="auto"/>
            </w:pPr>
            <w:r>
              <w:t>3° medio</w:t>
            </w:r>
          </w:p>
        </w:tc>
        <w:tc>
          <w:tcPr>
            <w:tcW w:w="7236" w:type="dxa"/>
          </w:tcPr>
          <w:p w:rsidR="001047FF" w:rsidRDefault="007D2368" w:rsidP="001A6050">
            <w:pPr>
              <w:spacing w:line="360" w:lineRule="auto"/>
            </w:pPr>
            <w:r>
              <w:t xml:space="preserve">“Cadáver exquisito”, de Agustina Bazterrica. </w:t>
            </w:r>
          </w:p>
        </w:tc>
      </w:tr>
      <w:tr w:rsidR="001047FF" w:rsidTr="007D2368">
        <w:trPr>
          <w:trHeight w:val="631"/>
        </w:trPr>
        <w:tc>
          <w:tcPr>
            <w:tcW w:w="2092" w:type="dxa"/>
          </w:tcPr>
          <w:p w:rsidR="001047FF" w:rsidRDefault="001047FF" w:rsidP="001A6050">
            <w:pPr>
              <w:spacing w:line="360" w:lineRule="auto"/>
            </w:pPr>
            <w:r>
              <w:t>4° medio</w:t>
            </w:r>
          </w:p>
        </w:tc>
        <w:tc>
          <w:tcPr>
            <w:tcW w:w="7236" w:type="dxa"/>
          </w:tcPr>
          <w:p w:rsidR="001047FF" w:rsidRDefault="007D2368" w:rsidP="001A6050">
            <w:pPr>
              <w:spacing w:line="360" w:lineRule="auto"/>
            </w:pPr>
            <w:r>
              <w:t xml:space="preserve">“Ensayo sobre la ceguera”, de José Saramago. </w:t>
            </w:r>
          </w:p>
        </w:tc>
      </w:tr>
    </w:tbl>
    <w:p w:rsidR="001047FF" w:rsidRDefault="001047FF" w:rsidP="001A6050">
      <w:pPr>
        <w:spacing w:line="360" w:lineRule="auto"/>
        <w:ind w:firstLine="708"/>
      </w:pPr>
    </w:p>
    <w:sectPr w:rsidR="001047FF" w:rsidSect="002C2C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A6050"/>
    <w:rsid w:val="001047FF"/>
    <w:rsid w:val="001A6050"/>
    <w:rsid w:val="002C2CFD"/>
    <w:rsid w:val="002F6C8B"/>
    <w:rsid w:val="005758DB"/>
    <w:rsid w:val="007D2368"/>
    <w:rsid w:val="008A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605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EncabezadoCar">
    <w:name w:val="Encabezado Car"/>
    <w:basedOn w:val="Fuentedeprrafopredeter"/>
    <w:link w:val="Encabezado"/>
    <w:rsid w:val="001A6050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104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Vergara Silva</dc:creator>
  <cp:lastModifiedBy>MiPc</cp:lastModifiedBy>
  <cp:revision>2</cp:revision>
  <dcterms:created xsi:type="dcterms:W3CDTF">2022-12-20T16:52:00Z</dcterms:created>
  <dcterms:modified xsi:type="dcterms:W3CDTF">2022-12-20T16:52:00Z</dcterms:modified>
</cp:coreProperties>
</file>